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A92A0EC"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FC4197">
        <w:rPr>
          <w:rFonts w:ascii="Arial" w:eastAsia="SimSun" w:hAnsi="Arial" w:cs="Times New Roman"/>
          <w:b/>
          <w:bCs/>
          <w:sz w:val="24"/>
          <w:szCs w:val="20"/>
          <w:lang w:eastAsia="ja-JP"/>
        </w:rPr>
        <w:t>R4-</w:t>
      </w:r>
      <w:r w:rsidR="00AE2BA5" w:rsidRPr="00FC4197">
        <w:rPr>
          <w:rFonts w:ascii="Arial" w:eastAsia="SimSun" w:hAnsi="Arial" w:cs="Times New Roman"/>
          <w:b/>
          <w:bCs/>
          <w:sz w:val="24"/>
          <w:szCs w:val="20"/>
          <w:lang w:eastAsia="zh-CN"/>
        </w:rPr>
        <w:t>2</w:t>
      </w:r>
      <w:r w:rsidR="00A04992" w:rsidRPr="00FC4197">
        <w:rPr>
          <w:rFonts w:ascii="Arial" w:eastAsia="SimSun" w:hAnsi="Arial" w:cs="Times New Roman"/>
          <w:b/>
          <w:bCs/>
          <w:sz w:val="24"/>
          <w:szCs w:val="20"/>
          <w:lang w:eastAsia="zh-CN"/>
        </w:rPr>
        <w:t>2</w:t>
      </w:r>
      <w:r w:rsidR="00FC4197" w:rsidRPr="00FC4197">
        <w:rPr>
          <w:rFonts w:ascii="Arial" w:eastAsia="SimSun" w:hAnsi="Arial" w:cs="Times New Roman"/>
          <w:b/>
          <w:bCs/>
          <w:sz w:val="24"/>
          <w:szCs w:val="20"/>
          <w:lang w:eastAsia="zh-CN"/>
        </w:rPr>
        <w:t>16215</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441DFD"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Pr="00441DFD">
        <w:rPr>
          <w:rFonts w:ascii="Arial" w:eastAsia="Calibri" w:hAnsi="Arial" w:cs="Arial"/>
          <w:b/>
          <w:bCs/>
          <w:sz w:val="24"/>
        </w:rPr>
        <w:t xml:space="preserve">Nokia, </w:t>
      </w:r>
      <w:r w:rsidR="0043750A" w:rsidRPr="00441DFD">
        <w:rPr>
          <w:rFonts w:ascii="Arial" w:eastAsia="Calibri" w:hAnsi="Arial" w:cs="Arial"/>
          <w:b/>
          <w:bCs/>
          <w:sz w:val="24"/>
        </w:rPr>
        <w:t>Nokia</w:t>
      </w:r>
      <w:r w:rsidRPr="00441DFD">
        <w:rPr>
          <w:rFonts w:ascii="Arial" w:eastAsia="Calibri" w:hAnsi="Arial" w:cs="Arial"/>
          <w:b/>
          <w:bCs/>
          <w:sz w:val="24"/>
        </w:rPr>
        <w:t xml:space="preserve"> Shanghai Bell</w:t>
      </w:r>
    </w:p>
    <w:p w14:paraId="0895565B" w14:textId="7E002821" w:rsidR="00841BCD" w:rsidRPr="00441DFD" w:rsidRDefault="00841BCD" w:rsidP="00841BCD">
      <w:pPr>
        <w:ind w:left="1985" w:hanging="1985"/>
        <w:rPr>
          <w:rFonts w:ascii="Arial" w:eastAsia="Calibri" w:hAnsi="Arial" w:cs="Arial"/>
          <w:b/>
          <w:bCs/>
          <w:sz w:val="24"/>
        </w:rPr>
      </w:pPr>
      <w:r w:rsidRPr="00441DFD">
        <w:rPr>
          <w:rFonts w:ascii="Arial" w:eastAsia="Calibri" w:hAnsi="Arial" w:cs="Arial"/>
          <w:b/>
          <w:bCs/>
          <w:sz w:val="24"/>
        </w:rPr>
        <w:t>Title:</w:t>
      </w:r>
      <w:r w:rsidRPr="00441DFD">
        <w:rPr>
          <w:rFonts w:ascii="Arial" w:eastAsia="Calibri" w:hAnsi="Arial" w:cs="Arial"/>
          <w:b/>
          <w:bCs/>
          <w:sz w:val="24"/>
        </w:rPr>
        <w:tab/>
      </w:r>
      <w:r w:rsidR="00441DFD" w:rsidRPr="00441DFD">
        <w:rPr>
          <w:rFonts w:ascii="Arial" w:eastAsia="Calibri" w:hAnsi="Arial" w:cs="Arial"/>
          <w:b/>
          <w:bCs/>
          <w:sz w:val="24"/>
        </w:rPr>
        <w:t xml:space="preserve">Discussion on remaining RRM issues for </w:t>
      </w:r>
      <w:proofErr w:type="spellStart"/>
      <w:r w:rsidR="00441DFD" w:rsidRPr="00441DFD">
        <w:rPr>
          <w:rFonts w:ascii="Arial" w:eastAsia="Calibri" w:hAnsi="Arial" w:cs="Arial"/>
          <w:b/>
          <w:bCs/>
          <w:sz w:val="24"/>
        </w:rPr>
        <w:t>RedCap</w:t>
      </w:r>
      <w:proofErr w:type="spellEnd"/>
      <w:r w:rsidR="00441DFD" w:rsidRPr="00441DFD">
        <w:rPr>
          <w:rFonts w:ascii="Arial" w:eastAsia="Calibri" w:hAnsi="Arial" w:cs="Arial"/>
          <w:b/>
          <w:bCs/>
          <w:sz w:val="24"/>
        </w:rPr>
        <w:t xml:space="preserve"> UEs</w:t>
      </w:r>
    </w:p>
    <w:p w14:paraId="641E8BEA" w14:textId="6A1264C4" w:rsidR="00841BCD" w:rsidRPr="00EF698B" w:rsidRDefault="00841BCD" w:rsidP="00841BCD">
      <w:pPr>
        <w:tabs>
          <w:tab w:val="left" w:pos="1985"/>
        </w:tabs>
        <w:spacing w:after="120" w:line="240" w:lineRule="auto"/>
        <w:rPr>
          <w:rFonts w:ascii="Arial" w:eastAsia="MS Mincho" w:hAnsi="Arial" w:cs="Arial"/>
          <w:b/>
          <w:bCs/>
          <w:sz w:val="24"/>
          <w:szCs w:val="20"/>
        </w:rPr>
      </w:pPr>
      <w:r w:rsidRPr="00441DFD">
        <w:rPr>
          <w:rFonts w:ascii="Arial" w:eastAsia="MS Mincho" w:hAnsi="Arial" w:cs="Arial"/>
          <w:b/>
          <w:bCs/>
          <w:sz w:val="24"/>
          <w:szCs w:val="20"/>
        </w:rPr>
        <w:t>Agenda item:</w:t>
      </w:r>
      <w:r w:rsidRPr="00441DFD">
        <w:rPr>
          <w:rFonts w:ascii="Arial" w:eastAsia="MS Mincho" w:hAnsi="Arial" w:cs="Arial"/>
          <w:b/>
          <w:bCs/>
          <w:sz w:val="24"/>
          <w:szCs w:val="20"/>
        </w:rPr>
        <w:tab/>
      </w:r>
      <w:r w:rsidR="00DA474B">
        <w:rPr>
          <w:rFonts w:ascii="Arial" w:eastAsia="MS Mincho" w:hAnsi="Arial" w:cs="Arial"/>
          <w:b/>
          <w:bCs/>
          <w:sz w:val="24"/>
          <w:szCs w:val="20"/>
        </w:rPr>
        <w:t>4</w:t>
      </w:r>
      <w:r w:rsidR="00441DFD" w:rsidRPr="00441DFD">
        <w:rPr>
          <w:rFonts w:ascii="Arial" w:eastAsia="MS Mincho" w:hAnsi="Arial" w:cs="Arial"/>
          <w:b/>
          <w:bCs/>
          <w:sz w:val="24"/>
          <w:szCs w:val="20"/>
        </w:rPr>
        <w:t>.6.</w:t>
      </w:r>
      <w:r w:rsidR="00CB1319">
        <w:rPr>
          <w:rFonts w:ascii="Arial" w:eastAsia="MS Mincho" w:hAnsi="Arial" w:cs="Arial"/>
          <w:b/>
          <w:bCs/>
          <w:sz w:val="24"/>
          <w:szCs w:val="20"/>
        </w:rPr>
        <w:t>3.1.</w:t>
      </w:r>
      <w:r w:rsidR="00441DFD" w:rsidRPr="00441DFD">
        <w:rPr>
          <w:rFonts w:ascii="Arial" w:eastAsia="MS Mincho" w:hAnsi="Arial" w:cs="Arial"/>
          <w:b/>
          <w:bCs/>
          <w:sz w:val="24"/>
          <w:szCs w:val="20"/>
        </w:rPr>
        <w:t>1</w:t>
      </w:r>
      <w:r w:rsidR="00441DFD" w:rsidRPr="00441DFD">
        <w:rPr>
          <w:rFonts w:ascii="Arial" w:eastAsia="MS Mincho" w:hAnsi="Arial" w:cs="Arial"/>
          <w:b/>
          <w:bCs/>
          <w:sz w:val="24"/>
          <w:szCs w:val="20"/>
        </w:rPr>
        <w:tab/>
        <w:t xml:space="preserve">General </w:t>
      </w:r>
      <w:r w:rsidR="00441DFD" w:rsidRPr="00441DFD">
        <w:rPr>
          <w:rFonts w:ascii="Arial" w:eastAsia="MS Mincho" w:hAnsi="Arial" w:cs="Arial"/>
          <w:b/>
          <w:bCs/>
          <w:sz w:val="24"/>
          <w:szCs w:val="20"/>
        </w:rPr>
        <w:tab/>
        <w:t>[</w:t>
      </w:r>
      <w:proofErr w:type="spellStart"/>
      <w:r w:rsidR="00441DFD" w:rsidRPr="00441DFD">
        <w:rPr>
          <w:rFonts w:ascii="Arial" w:eastAsia="MS Mincho" w:hAnsi="Arial" w:cs="Arial"/>
          <w:b/>
          <w:bCs/>
          <w:sz w:val="24"/>
          <w:szCs w:val="20"/>
        </w:rPr>
        <w:t>NR_redcap</w:t>
      </w:r>
      <w:proofErr w:type="spellEnd"/>
      <w:r w:rsidR="00441DFD" w:rsidRPr="00441DFD">
        <w:rPr>
          <w:rFonts w:ascii="Arial" w:eastAsia="MS Mincho" w:hAnsi="Arial" w:cs="Arial"/>
          <w:b/>
          <w:bCs/>
          <w:sz w:val="24"/>
          <w:szCs w:val="20"/>
        </w:rPr>
        <w:t>-Core]</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3310C0C6" w14:textId="28F7F806" w:rsidR="005111F1" w:rsidRDefault="004014EB" w:rsidP="005111F1">
      <w:r>
        <w:t xml:space="preserve">The discussion on </w:t>
      </w:r>
      <w:proofErr w:type="spellStart"/>
      <w:r>
        <w:t>RedCap</w:t>
      </w:r>
      <w:proofErr w:type="spellEnd"/>
      <w:r>
        <w:t xml:space="preserve"> core requirements related to general measurement requirements was continued at RAN4 #104-e [1]. </w:t>
      </w:r>
      <w:proofErr w:type="gramStart"/>
      <w:r w:rsidR="005111F1">
        <w:t>With regard to</w:t>
      </w:r>
      <w:proofErr w:type="gramEnd"/>
      <w:r w:rsidR="005111F1">
        <w:t xml:space="preserve"> Small Data Transmission, the following agreements and open issues </w:t>
      </w:r>
      <w:r w:rsidR="00D0673D">
        <w:t xml:space="preserve">are captured </w:t>
      </w:r>
      <w:r w:rsidR="005111F1">
        <w:t>in the WF [</w:t>
      </w:r>
      <w:r w:rsidR="00D0673D">
        <w:t>2</w:t>
      </w:r>
      <w:r w:rsidR="005111F1">
        <w:t xml:space="preserve">]. </w:t>
      </w:r>
    </w:p>
    <w:tbl>
      <w:tblPr>
        <w:tblStyle w:val="TableGrid"/>
        <w:tblW w:w="0" w:type="auto"/>
        <w:tblLook w:val="04A0" w:firstRow="1" w:lastRow="0" w:firstColumn="1" w:lastColumn="0" w:noHBand="0" w:noVBand="1"/>
      </w:tblPr>
      <w:tblGrid>
        <w:gridCol w:w="9617"/>
      </w:tblGrid>
      <w:tr w:rsidR="00496DF7" w14:paraId="71BC6690" w14:textId="77777777" w:rsidTr="001D2D4D">
        <w:tc>
          <w:tcPr>
            <w:tcW w:w="9617" w:type="dxa"/>
          </w:tcPr>
          <w:p w14:paraId="543F7E7E" w14:textId="77777777" w:rsidR="005111F1" w:rsidRPr="000564BF" w:rsidRDefault="005111F1" w:rsidP="005111F1">
            <w:pPr>
              <w:spacing w:afterLines="50" w:after="120"/>
              <w:rPr>
                <w:b/>
                <w:lang w:eastAsia="zh-CN"/>
              </w:rPr>
            </w:pPr>
            <w:r w:rsidRPr="00321647">
              <w:rPr>
                <w:rFonts w:hint="eastAsia"/>
                <w:b/>
                <w:highlight w:val="green"/>
                <w:lang w:eastAsia="zh-CN"/>
              </w:rPr>
              <w:t>Agreement</w:t>
            </w:r>
            <w:r w:rsidRPr="00321647">
              <w:rPr>
                <w:b/>
                <w:highlight w:val="green"/>
                <w:lang w:eastAsia="zh-CN"/>
              </w:rPr>
              <w:t>s</w:t>
            </w:r>
            <w:r w:rsidRPr="000564BF">
              <w:rPr>
                <w:rFonts w:hint="eastAsia"/>
                <w:b/>
                <w:lang w:eastAsia="zh-CN"/>
              </w:rPr>
              <w:t>:</w:t>
            </w:r>
          </w:p>
          <w:p w14:paraId="5F910728" w14:textId="77777777" w:rsidR="005111F1" w:rsidRDefault="005111F1" w:rsidP="005111F1">
            <w:pPr>
              <w:rPr>
                <w:b/>
                <w:color w:val="000000" w:themeColor="text1"/>
                <w:u w:val="single"/>
                <w:lang w:eastAsia="ko-KR"/>
              </w:rPr>
            </w:pPr>
            <w:r>
              <w:rPr>
                <w:b/>
                <w:color w:val="000000" w:themeColor="text1"/>
                <w:u w:val="single"/>
                <w:lang w:eastAsia="ko-KR"/>
              </w:rPr>
              <w:t>SDT FR2 requirements</w:t>
            </w:r>
          </w:p>
          <w:p w14:paraId="59CC7EB8" w14:textId="77777777" w:rsidR="005111F1" w:rsidRPr="000B1205" w:rsidRDefault="005111F1" w:rsidP="005111F1">
            <w:pPr>
              <w:spacing w:after="120"/>
              <w:rPr>
                <w:rFonts w:eastAsia="SimSun"/>
                <w:b/>
                <w:bCs/>
                <w:color w:val="000000" w:themeColor="text1"/>
                <w:lang w:eastAsia="zh-CN"/>
              </w:rPr>
            </w:pPr>
            <w:r w:rsidRPr="000B1205">
              <w:rPr>
                <w:color w:val="000000" w:themeColor="text1"/>
              </w:rPr>
              <w:t xml:space="preserve">Reuse the FR2 requirements for SDT for legacy NR devices defined in clause 5.5.3 for </w:t>
            </w:r>
            <w:proofErr w:type="spellStart"/>
            <w:r w:rsidRPr="000B1205">
              <w:rPr>
                <w:color w:val="000000" w:themeColor="text1"/>
              </w:rPr>
              <w:t>RedCap</w:t>
            </w:r>
            <w:proofErr w:type="spellEnd"/>
            <w:r w:rsidRPr="000B1205">
              <w:rPr>
                <w:color w:val="000000" w:themeColor="text1"/>
              </w:rPr>
              <w:t xml:space="preserve"> UE in clause 5.2B.2.1, where:</w:t>
            </w:r>
          </w:p>
          <w:p w14:paraId="152635FC" w14:textId="77777777" w:rsidR="005111F1" w:rsidRPr="00B95772" w:rsidRDefault="005111F1" w:rsidP="005111F1">
            <w:pPr>
              <w:pStyle w:val="ListParagraph"/>
              <w:numPr>
                <w:ilvl w:val="2"/>
                <w:numId w:val="32"/>
              </w:numPr>
              <w:spacing w:after="120"/>
              <w:ind w:left="0" w:firstLine="420"/>
              <w:contextualSpacing w:val="0"/>
              <w:rPr>
                <w:rFonts w:eastAsia="SimSun"/>
                <w:b/>
                <w:bCs/>
                <w:color w:val="000000" w:themeColor="text1"/>
                <w:lang w:eastAsia="zh-CN"/>
              </w:rPr>
            </w:pPr>
            <w:r w:rsidRPr="00364E55">
              <w:rPr>
                <w:color w:val="000000" w:themeColor="text1"/>
              </w:rPr>
              <w:t xml:space="preserve">X1 in FR2 TA validation rules is set to </w:t>
            </w:r>
            <w:proofErr w:type="gramStart"/>
            <w:r w:rsidRPr="00B95772">
              <w:rPr>
                <w:color w:val="000000" w:themeColor="text1"/>
                <w:lang w:val="fr-FR"/>
              </w:rPr>
              <w:t>max{</w:t>
            </w:r>
            <w:proofErr w:type="gramEnd"/>
            <w:r w:rsidRPr="00B95772">
              <w:rPr>
                <w:color w:val="000000" w:themeColor="text1"/>
                <w:lang w:val="fr-FR"/>
              </w:rPr>
              <w:t xml:space="preserve">480ms, 8*SMTC </w:t>
            </w:r>
            <w:proofErr w:type="spellStart"/>
            <w:r w:rsidRPr="00B95772">
              <w:rPr>
                <w:color w:val="000000" w:themeColor="text1"/>
                <w:lang w:val="fr-FR"/>
              </w:rPr>
              <w:t>periodicity</w:t>
            </w:r>
            <w:proofErr w:type="spellEnd"/>
            <w:r w:rsidRPr="00B95772">
              <w:rPr>
                <w:color w:val="000000" w:themeColor="text1"/>
                <w:lang w:val="fr-FR"/>
              </w:rPr>
              <w:t>}.</w:t>
            </w:r>
            <w:r w:rsidRPr="00B95772">
              <w:rPr>
                <w:rFonts w:eastAsia="SimSun"/>
                <w:b/>
                <w:bCs/>
                <w:color w:val="000000" w:themeColor="text1"/>
                <w:lang w:eastAsia="zh-CN"/>
              </w:rPr>
              <w:t xml:space="preserve"> </w:t>
            </w:r>
          </w:p>
          <w:p w14:paraId="371D1506" w14:textId="7B4FDBEF" w:rsidR="00496DF7" w:rsidRPr="00D0673D" w:rsidRDefault="005111F1" w:rsidP="00D0673D">
            <w:pPr>
              <w:pStyle w:val="ListParagraph"/>
              <w:numPr>
                <w:ilvl w:val="2"/>
                <w:numId w:val="32"/>
              </w:numPr>
              <w:spacing w:after="120"/>
              <w:ind w:left="0" w:firstLine="420"/>
              <w:contextualSpacing w:val="0"/>
              <w:rPr>
                <w:rFonts w:eastAsia="SimSun"/>
                <w:b/>
                <w:bCs/>
                <w:color w:val="000000" w:themeColor="text1"/>
                <w:lang w:eastAsia="zh-CN"/>
              </w:rPr>
            </w:pPr>
            <w:r w:rsidRPr="00B95772">
              <w:rPr>
                <w:color w:val="000000" w:themeColor="text1"/>
              </w:rPr>
              <w:t xml:space="preserve">Z1 is set to 640 </w:t>
            </w:r>
            <w:proofErr w:type="spellStart"/>
            <w:r w:rsidRPr="00B95772">
              <w:rPr>
                <w:color w:val="000000" w:themeColor="text1"/>
              </w:rPr>
              <w:t>ms.</w:t>
            </w:r>
            <w:proofErr w:type="spellEnd"/>
          </w:p>
        </w:tc>
      </w:tr>
    </w:tbl>
    <w:p w14:paraId="63B784EB" w14:textId="77777777" w:rsidR="00496DF7" w:rsidRDefault="00496DF7" w:rsidP="00221C49">
      <w:pPr>
        <w:spacing w:after="0"/>
      </w:pPr>
    </w:p>
    <w:tbl>
      <w:tblPr>
        <w:tblStyle w:val="TableGrid"/>
        <w:tblW w:w="0" w:type="auto"/>
        <w:tblLook w:val="04A0" w:firstRow="1" w:lastRow="0" w:firstColumn="1" w:lastColumn="0" w:noHBand="0" w:noVBand="1"/>
      </w:tblPr>
      <w:tblGrid>
        <w:gridCol w:w="9617"/>
      </w:tblGrid>
      <w:tr w:rsidR="00221C49" w14:paraId="5B7859EB" w14:textId="77777777" w:rsidTr="001D2D4D">
        <w:tc>
          <w:tcPr>
            <w:tcW w:w="9617" w:type="dxa"/>
          </w:tcPr>
          <w:p w14:paraId="026593C9" w14:textId="63DE934B" w:rsidR="00221C49" w:rsidRPr="000564BF" w:rsidRDefault="00221C49" w:rsidP="001D2D4D">
            <w:pPr>
              <w:spacing w:afterLines="50" w:after="120"/>
              <w:rPr>
                <w:b/>
                <w:lang w:eastAsia="zh-CN"/>
              </w:rPr>
            </w:pPr>
            <w:r>
              <w:rPr>
                <w:b/>
                <w:lang w:eastAsia="zh-CN"/>
              </w:rPr>
              <w:t>Open issues</w:t>
            </w:r>
            <w:r w:rsidRPr="000564BF">
              <w:rPr>
                <w:rFonts w:hint="eastAsia"/>
                <w:b/>
                <w:lang w:eastAsia="zh-CN"/>
              </w:rPr>
              <w:t>:</w:t>
            </w:r>
          </w:p>
          <w:p w14:paraId="3B6C9651" w14:textId="77777777" w:rsidR="00D0673D" w:rsidRPr="006B70FA" w:rsidRDefault="00D0673D" w:rsidP="00D0673D">
            <w:pPr>
              <w:rPr>
                <w:b/>
                <w:color w:val="000000" w:themeColor="text1"/>
                <w:u w:val="single"/>
                <w:lang w:eastAsia="ko-KR"/>
              </w:rPr>
            </w:pPr>
            <w:r w:rsidRPr="00B95772">
              <w:rPr>
                <w:b/>
                <w:color w:val="000000" w:themeColor="text1"/>
                <w:u w:val="single"/>
                <w:lang w:eastAsia="ko-KR"/>
              </w:rPr>
              <w:t xml:space="preserve">SDT for </w:t>
            </w:r>
            <w:proofErr w:type="spellStart"/>
            <w:r w:rsidRPr="00B95772">
              <w:rPr>
                <w:b/>
                <w:color w:val="000000" w:themeColor="text1"/>
                <w:u w:val="single"/>
                <w:lang w:eastAsia="ko-KR"/>
              </w:rPr>
              <w:t>RedCap</w:t>
            </w:r>
            <w:proofErr w:type="spellEnd"/>
            <w:r w:rsidRPr="00B95772">
              <w:rPr>
                <w:b/>
                <w:color w:val="000000" w:themeColor="text1"/>
                <w:u w:val="single"/>
                <w:lang w:eastAsia="ko-KR"/>
              </w:rPr>
              <w:t xml:space="preserve"> with </w:t>
            </w:r>
            <w:proofErr w:type="spellStart"/>
            <w:r w:rsidRPr="00B95772">
              <w:rPr>
                <w:b/>
                <w:color w:val="000000" w:themeColor="text1"/>
                <w:u w:val="single"/>
                <w:lang w:eastAsia="ko-KR"/>
              </w:rPr>
              <w:t>eDRX</w:t>
            </w:r>
            <w:proofErr w:type="spellEnd"/>
          </w:p>
          <w:p w14:paraId="4FCF7A59" w14:textId="24540F81" w:rsidR="00D0673D" w:rsidRPr="006B70FA" w:rsidRDefault="006128AD" w:rsidP="00D0673D">
            <w:pPr>
              <w:rPr>
                <w:color w:val="000000" w:themeColor="text1"/>
              </w:rPr>
            </w:pPr>
            <w:r>
              <w:rPr>
                <w:color w:val="000000" w:themeColor="text1"/>
              </w:rPr>
              <w:t>_</w:t>
            </w:r>
            <w:r w:rsidR="00D0673D" w:rsidRPr="006B70FA">
              <w:rPr>
                <w:color w:val="000000" w:themeColor="text1"/>
              </w:rPr>
              <w:t xml:space="preserve">FFS: TA validation requirements for </w:t>
            </w:r>
            <w:proofErr w:type="spellStart"/>
            <w:r w:rsidR="00D0673D" w:rsidRPr="006B70FA">
              <w:rPr>
                <w:color w:val="000000" w:themeColor="text1"/>
              </w:rPr>
              <w:t>RedCap</w:t>
            </w:r>
            <w:proofErr w:type="spellEnd"/>
            <w:r w:rsidR="00D0673D" w:rsidRPr="006B70FA">
              <w:rPr>
                <w:color w:val="000000" w:themeColor="text1"/>
              </w:rPr>
              <w:t xml:space="preserve"> CG-SDT is defined for UE configured with </w:t>
            </w:r>
            <w:proofErr w:type="spellStart"/>
            <w:r w:rsidR="00D0673D" w:rsidRPr="006B70FA">
              <w:rPr>
                <w:color w:val="000000" w:themeColor="text1"/>
              </w:rPr>
              <w:t>eDRX</w:t>
            </w:r>
            <w:proofErr w:type="spellEnd"/>
            <w:r w:rsidR="00D0673D" w:rsidRPr="006B70FA">
              <w:rPr>
                <w:color w:val="000000" w:themeColor="text1"/>
              </w:rPr>
              <w:t xml:space="preserve"> in RRC_INACTIVE state by reusing the principles from DRX requirements introduced in R17 SDT WI.</w:t>
            </w:r>
          </w:p>
          <w:p w14:paraId="65957AFA" w14:textId="77777777" w:rsidR="00D0673D" w:rsidRPr="006B70FA" w:rsidRDefault="00D0673D" w:rsidP="00D0673D">
            <w:pPr>
              <w:tabs>
                <w:tab w:val="left" w:pos="1480"/>
              </w:tabs>
              <w:rPr>
                <w:color w:val="000000" w:themeColor="text1"/>
              </w:rPr>
            </w:pPr>
          </w:p>
          <w:p w14:paraId="4C0E4BA2" w14:textId="4CCEE16B" w:rsidR="00221C49" w:rsidRPr="00D0673D" w:rsidRDefault="00D0673D" w:rsidP="00D0673D">
            <w:pPr>
              <w:tabs>
                <w:tab w:val="left" w:pos="1480"/>
              </w:tabs>
              <w:spacing w:after="120"/>
              <w:rPr>
                <w:color w:val="0070C0"/>
                <w:lang w:eastAsia="zh-CN"/>
              </w:rPr>
            </w:pPr>
            <w:r w:rsidRPr="00364E55">
              <w:rPr>
                <w:color w:val="000000" w:themeColor="text1"/>
              </w:rPr>
              <w:t xml:space="preserve">Note: </w:t>
            </w:r>
            <w:proofErr w:type="spellStart"/>
            <w:r w:rsidRPr="00364E55">
              <w:rPr>
                <w:color w:val="000000" w:themeColor="text1"/>
              </w:rPr>
              <w:t>eDRX</w:t>
            </w:r>
            <w:proofErr w:type="spellEnd"/>
            <w:r w:rsidRPr="00B95772">
              <w:rPr>
                <w:color w:val="000000" w:themeColor="text1"/>
              </w:rPr>
              <w:t xml:space="preserve"> in RRC_INACTIVE state does not have PTW.</w:t>
            </w:r>
            <w:r>
              <w:rPr>
                <w:color w:val="000000" w:themeColor="text1"/>
              </w:rPr>
              <w:t xml:space="preserve"> </w:t>
            </w:r>
          </w:p>
        </w:tc>
      </w:tr>
    </w:tbl>
    <w:p w14:paraId="5F134C5E" w14:textId="77777777" w:rsidR="00221C49" w:rsidRDefault="00221C49" w:rsidP="00221C49">
      <w:pPr>
        <w:spacing w:after="0"/>
      </w:pPr>
    </w:p>
    <w:p w14:paraId="1BA44BB9" w14:textId="47E38D8C" w:rsidR="005B4801" w:rsidRPr="00EF698B" w:rsidRDefault="00496DF7" w:rsidP="005C23A4">
      <w:r>
        <w:t xml:space="preserve">In this contribution, we discuss </w:t>
      </w:r>
      <w:r w:rsidR="00221C49">
        <w:t>the above open issue from last meeting</w:t>
      </w:r>
      <w:r>
        <w:t>.</w:t>
      </w:r>
    </w:p>
    <w:p w14:paraId="5E6E091D" w14:textId="77777777" w:rsidR="003B659E" w:rsidRPr="00EF698B" w:rsidRDefault="003B659E" w:rsidP="00AE56B1">
      <w:pPr>
        <w:pStyle w:val="RAN4H1"/>
        <w:rPr>
          <w:lang w:val="en-US"/>
        </w:rPr>
      </w:pPr>
      <w:r w:rsidRPr="00EF698B">
        <w:rPr>
          <w:lang w:val="en-US"/>
        </w:rPr>
        <w:t>Discussion</w:t>
      </w:r>
    </w:p>
    <w:p w14:paraId="2A283668" w14:textId="02117DD9" w:rsidR="00583E5D" w:rsidRDefault="00E73C53" w:rsidP="00041E2C">
      <w:r>
        <w:t>The above o</w:t>
      </w:r>
      <w:r w:rsidR="007773DA">
        <w:t xml:space="preserve">pen issue from last meeting </w:t>
      </w:r>
      <w:r>
        <w:t>is</w:t>
      </w:r>
      <w:r w:rsidR="007773DA">
        <w:t xml:space="preserve"> discussed in this section</w:t>
      </w:r>
      <w:r w:rsidR="005B4801">
        <w:t>.</w:t>
      </w:r>
    </w:p>
    <w:p w14:paraId="39A839D1" w14:textId="573B6577" w:rsidR="00041E2C" w:rsidRPr="006741BD" w:rsidRDefault="00041E2C" w:rsidP="00041E2C">
      <w:pPr>
        <w:pStyle w:val="RAN4H2"/>
        <w:rPr>
          <w:lang w:val="en-GB"/>
        </w:rPr>
      </w:pPr>
      <w:r>
        <w:rPr>
          <w:lang w:val="en-GB"/>
        </w:rPr>
        <w:t xml:space="preserve">TA validation requirements for </w:t>
      </w:r>
      <w:r>
        <w:t>CG-SDT</w:t>
      </w:r>
      <w:r>
        <w:rPr>
          <w:lang w:val="en-GB"/>
        </w:rPr>
        <w:t xml:space="preserve"> </w:t>
      </w:r>
      <w:r w:rsidRPr="006741BD">
        <w:rPr>
          <w:lang w:val="en-GB"/>
        </w:rPr>
        <w:t xml:space="preserve">and </w:t>
      </w:r>
      <w:proofErr w:type="spellStart"/>
      <w:r w:rsidRPr="006741BD">
        <w:rPr>
          <w:lang w:val="en-GB"/>
        </w:rPr>
        <w:t>eDRX</w:t>
      </w:r>
      <w:proofErr w:type="spellEnd"/>
    </w:p>
    <w:p w14:paraId="05BEDBC0" w14:textId="0D9A13B4" w:rsidR="00041E2C" w:rsidRDefault="00041E2C" w:rsidP="00041E2C">
      <w:pPr>
        <w:rPr>
          <w:lang w:val="en-GB"/>
        </w:rPr>
      </w:pPr>
      <w:r w:rsidRPr="00EE2F67">
        <w:rPr>
          <w:lang w:val="en-GB"/>
        </w:rPr>
        <w:t xml:space="preserve">At RAN4#103-e, the discussion </w:t>
      </w:r>
      <w:r>
        <w:rPr>
          <w:lang w:val="en-GB"/>
        </w:rPr>
        <w:t xml:space="preserve">on </w:t>
      </w:r>
      <w:r w:rsidRPr="009D5E99">
        <w:rPr>
          <w:lang w:val="en-GB"/>
        </w:rPr>
        <w:t>TA validation requirements</w:t>
      </w:r>
      <w:r>
        <w:rPr>
          <w:lang w:val="en-GB"/>
        </w:rPr>
        <w:t xml:space="preserve"> for</w:t>
      </w:r>
      <w:r w:rsidRPr="009D5E99">
        <w:rPr>
          <w:lang w:val="en-GB"/>
        </w:rPr>
        <w:t xml:space="preserve"> </w:t>
      </w:r>
      <w:r>
        <w:rPr>
          <w:lang w:val="en-GB"/>
        </w:rPr>
        <w:t xml:space="preserve">small data transmission </w:t>
      </w:r>
      <w:r w:rsidRPr="00EE2F67">
        <w:rPr>
          <w:lang w:val="en-GB"/>
        </w:rPr>
        <w:t xml:space="preserve">for </w:t>
      </w:r>
      <w:proofErr w:type="spellStart"/>
      <w:r w:rsidRPr="00EE2F67">
        <w:rPr>
          <w:lang w:val="en-GB"/>
        </w:rPr>
        <w:t>RedCap</w:t>
      </w:r>
      <w:proofErr w:type="spellEnd"/>
      <w:r w:rsidRPr="00EE2F67">
        <w:rPr>
          <w:lang w:val="en-GB"/>
        </w:rPr>
        <w:t xml:space="preserve"> UE was progressed in the endorsed draft CR [</w:t>
      </w:r>
      <w:r w:rsidR="00441DFD">
        <w:rPr>
          <w:lang w:val="en-GB"/>
        </w:rPr>
        <w:t>3</w:t>
      </w:r>
      <w:r w:rsidRPr="00EE2F67">
        <w:rPr>
          <w:lang w:val="en-GB"/>
        </w:rPr>
        <w:t>].</w:t>
      </w:r>
      <w:r>
        <w:rPr>
          <w:lang w:val="en-GB"/>
        </w:rPr>
        <w:t xml:space="preserve"> The impact of </w:t>
      </w:r>
      <w:proofErr w:type="spellStart"/>
      <w:r>
        <w:rPr>
          <w:lang w:val="en-GB"/>
        </w:rPr>
        <w:t>eDRX</w:t>
      </w:r>
      <w:proofErr w:type="spellEnd"/>
      <w:r>
        <w:rPr>
          <w:lang w:val="en-GB"/>
        </w:rPr>
        <w:t xml:space="preserve"> was discussed but no specific requirements for </w:t>
      </w:r>
      <w:proofErr w:type="spellStart"/>
      <w:r>
        <w:rPr>
          <w:lang w:val="en-GB"/>
        </w:rPr>
        <w:t>eDRX</w:t>
      </w:r>
      <w:proofErr w:type="spellEnd"/>
      <w:r>
        <w:rPr>
          <w:lang w:val="en-GB"/>
        </w:rPr>
        <w:t xml:space="preserve"> were agreed to be defined. </w:t>
      </w:r>
    </w:p>
    <w:p w14:paraId="3170C0CF" w14:textId="2071017E" w:rsidR="001A1A62" w:rsidRDefault="001A1A62" w:rsidP="00041E2C">
      <w:pPr>
        <w:rPr>
          <w:lang w:val="en-GB"/>
        </w:rPr>
      </w:pPr>
      <w:r>
        <w:rPr>
          <w:lang w:val="en-GB"/>
        </w:rPr>
        <w:t xml:space="preserve">At RAN4#104-e, the discussion on TA validation requirements for SDT under </w:t>
      </w:r>
      <w:proofErr w:type="spellStart"/>
      <w:r>
        <w:rPr>
          <w:lang w:val="en-GB"/>
        </w:rPr>
        <w:t>eDRX</w:t>
      </w:r>
      <w:proofErr w:type="spellEnd"/>
      <w:r>
        <w:rPr>
          <w:lang w:val="en-GB"/>
        </w:rPr>
        <w:t xml:space="preserve"> was </w:t>
      </w:r>
      <w:r w:rsidR="00487EF1">
        <w:rPr>
          <w:lang w:val="en-GB"/>
        </w:rPr>
        <w:t xml:space="preserve">then </w:t>
      </w:r>
      <w:r>
        <w:rPr>
          <w:lang w:val="en-GB"/>
        </w:rPr>
        <w:t xml:space="preserve">continued. It was agreed to reuse the same </w:t>
      </w:r>
      <w:r w:rsidR="00487EF1">
        <w:rPr>
          <w:lang w:val="en-GB"/>
        </w:rPr>
        <w:t>principles</w:t>
      </w:r>
      <w:r>
        <w:rPr>
          <w:lang w:val="en-GB"/>
        </w:rPr>
        <w:t xml:space="preserve"> as for</w:t>
      </w:r>
      <w:r w:rsidR="00487EF1">
        <w:rPr>
          <w:lang w:val="en-GB"/>
        </w:rPr>
        <w:t xml:space="preserve"> </w:t>
      </w:r>
      <w:r>
        <w:rPr>
          <w:lang w:val="en-GB"/>
        </w:rPr>
        <w:t xml:space="preserve">DRX </w:t>
      </w:r>
      <w:r w:rsidR="00487EF1">
        <w:rPr>
          <w:lang w:val="en-GB"/>
        </w:rPr>
        <w:t>by replacing T</w:t>
      </w:r>
      <w:r w:rsidR="00487EF1" w:rsidRPr="00487EF1">
        <w:rPr>
          <w:vertAlign w:val="subscript"/>
          <w:lang w:val="en-GB"/>
        </w:rPr>
        <w:t>DRX</w:t>
      </w:r>
      <w:r w:rsidR="00487EF1">
        <w:rPr>
          <w:lang w:val="en-GB"/>
        </w:rPr>
        <w:t xml:space="preserve"> with </w:t>
      </w:r>
      <w:proofErr w:type="spellStart"/>
      <w:r w:rsidR="00487EF1">
        <w:rPr>
          <w:lang w:val="en-GB"/>
        </w:rPr>
        <w:t>T</w:t>
      </w:r>
      <w:r w:rsidR="00487EF1" w:rsidRPr="00487EF1">
        <w:rPr>
          <w:vertAlign w:val="subscript"/>
          <w:lang w:val="en-GB"/>
        </w:rPr>
        <w:t>eDRX</w:t>
      </w:r>
      <w:proofErr w:type="spellEnd"/>
      <w:r w:rsidR="00487EF1" w:rsidRPr="00487EF1">
        <w:rPr>
          <w:vertAlign w:val="subscript"/>
          <w:lang w:val="en-GB"/>
        </w:rPr>
        <w:t>-</w:t>
      </w:r>
      <w:proofErr w:type="gramStart"/>
      <w:r w:rsidR="00487EF1" w:rsidRPr="00487EF1">
        <w:rPr>
          <w:vertAlign w:val="subscript"/>
          <w:lang w:val="en-GB"/>
        </w:rPr>
        <w:t>RAN</w:t>
      </w:r>
      <w:r w:rsidR="00487EF1">
        <w:rPr>
          <w:vertAlign w:val="subscript"/>
          <w:lang w:val="en-GB"/>
        </w:rPr>
        <w:t xml:space="preserve"> </w:t>
      </w:r>
      <w:r w:rsidR="00487EF1" w:rsidRPr="00487EF1">
        <w:rPr>
          <w:lang w:val="en-GB"/>
        </w:rPr>
        <w:t>,</w:t>
      </w:r>
      <w:proofErr w:type="gramEnd"/>
      <w:r w:rsidR="00487EF1" w:rsidRPr="00487EF1">
        <w:rPr>
          <w:lang w:val="en-GB"/>
        </w:rPr>
        <w:t xml:space="preserve"> i.e. the </w:t>
      </w:r>
      <w:proofErr w:type="spellStart"/>
      <w:r w:rsidR="00487EF1" w:rsidRPr="00487EF1">
        <w:rPr>
          <w:lang w:val="en-GB"/>
        </w:rPr>
        <w:t>eDRX</w:t>
      </w:r>
      <w:proofErr w:type="spellEnd"/>
      <w:r w:rsidR="00487EF1" w:rsidRPr="00487EF1">
        <w:rPr>
          <w:lang w:val="en-GB"/>
        </w:rPr>
        <w:t xml:space="preserve"> cycle for RAN paging in RRC_INACTIVE.</w:t>
      </w:r>
      <w:r w:rsidR="00487EF1">
        <w:rPr>
          <w:lang w:val="en-GB"/>
        </w:rPr>
        <w:t xml:space="preserve"> The</w:t>
      </w:r>
      <w:r w:rsidR="00487EF1" w:rsidRPr="00487EF1">
        <w:rPr>
          <w:lang w:val="en-GB"/>
        </w:rPr>
        <w:t xml:space="preserve"> </w:t>
      </w:r>
      <w:r w:rsidR="00487EF1">
        <w:rPr>
          <w:lang w:val="en-GB"/>
        </w:rPr>
        <w:t>CR 38.133 [4] was agreed.</w:t>
      </w:r>
    </w:p>
    <w:p w14:paraId="4F0CA5EA" w14:textId="05FA881E" w:rsidR="00487EF1" w:rsidRDefault="00487EF1" w:rsidP="00487EF1">
      <w:pPr>
        <w:rPr>
          <w:lang w:val="en-GB"/>
        </w:rPr>
      </w:pPr>
      <w:r>
        <w:rPr>
          <w:lang w:val="en-GB"/>
        </w:rPr>
        <w:t xml:space="preserve">In our view, TA validation requirements for SDT should not depend on whether the UE is configured with or without </w:t>
      </w:r>
      <w:proofErr w:type="spellStart"/>
      <w:r>
        <w:rPr>
          <w:lang w:val="en-GB"/>
        </w:rPr>
        <w:t>eDRX</w:t>
      </w:r>
      <w:proofErr w:type="spellEnd"/>
      <w:r>
        <w:rPr>
          <w:lang w:val="en-GB"/>
        </w:rPr>
        <w:t xml:space="preserve">. Thus, the same timing requirements for ensuring the two RSRP measurements are appropriate related to the two instants, i.e., reception of last TA command and TA validation before transmitting on preconfigured uplink resources, should apply. Hence, there is no justification to specify different TA validation requirements to DRX when </w:t>
      </w:r>
      <w:proofErr w:type="spellStart"/>
      <w:r>
        <w:rPr>
          <w:lang w:val="en-GB"/>
        </w:rPr>
        <w:t>eDRX</w:t>
      </w:r>
      <w:proofErr w:type="spellEnd"/>
      <w:r>
        <w:rPr>
          <w:lang w:val="en-GB"/>
        </w:rPr>
        <w:t xml:space="preserve"> is configured and we supported the</w:t>
      </w:r>
      <w:r w:rsidR="003023BB">
        <w:rPr>
          <w:lang w:val="en-GB"/>
        </w:rPr>
        <w:t xml:space="preserve"> agreement for</w:t>
      </w:r>
      <w:r>
        <w:rPr>
          <w:lang w:val="en-GB"/>
        </w:rPr>
        <w:t xml:space="preserve"> CR [4]. Some refinements on references and terms related to TA validation requirements for SDT are </w:t>
      </w:r>
      <w:r w:rsidR="003023BB">
        <w:rPr>
          <w:lang w:val="en-GB"/>
        </w:rPr>
        <w:t xml:space="preserve">still </w:t>
      </w:r>
      <w:r>
        <w:rPr>
          <w:lang w:val="en-GB"/>
        </w:rPr>
        <w:t>found necessary and are contributed to this meeting in [5].</w:t>
      </w:r>
    </w:p>
    <w:p w14:paraId="6E720416" w14:textId="77777777" w:rsidR="00041E2C" w:rsidRPr="006741BD" w:rsidRDefault="00041E2C" w:rsidP="00041E2C">
      <w:pPr>
        <w:rPr>
          <w:lang w:val="en-GB"/>
        </w:rPr>
      </w:pPr>
      <w:r w:rsidRPr="006741BD">
        <w:rPr>
          <w:lang w:val="en-GB"/>
        </w:rPr>
        <w:t>The following proposal is made.</w:t>
      </w:r>
    </w:p>
    <w:p w14:paraId="558C1873" w14:textId="53182528" w:rsidR="00BD33C3" w:rsidRDefault="00EA400A" w:rsidP="00041E2C">
      <w:pPr>
        <w:pStyle w:val="RAN4proposal"/>
      </w:pPr>
      <w:r>
        <w:lastRenderedPageBreak/>
        <w:t xml:space="preserve">Agree changes in </w:t>
      </w:r>
      <w:r w:rsidRPr="00FC4197">
        <w:t>R4-221</w:t>
      </w:r>
      <w:r w:rsidR="00FC4197" w:rsidRPr="00FC4197">
        <w:t>6216</w:t>
      </w:r>
      <w:r>
        <w:t xml:space="preserve"> correcting references to the respective SDT section in 38.321, adding term definition </w:t>
      </w:r>
      <w:r w:rsidR="00434C8D">
        <w:t xml:space="preserve">for </w:t>
      </w:r>
      <w:proofErr w:type="spellStart"/>
      <w:r w:rsidR="00434C8D">
        <w:rPr>
          <w:lang w:val="en-GB"/>
        </w:rPr>
        <w:t>T</w:t>
      </w:r>
      <w:r w:rsidR="00434C8D" w:rsidRPr="00487EF1">
        <w:rPr>
          <w:vertAlign w:val="subscript"/>
          <w:lang w:val="en-GB"/>
        </w:rPr>
        <w:t>eDRX</w:t>
      </w:r>
      <w:proofErr w:type="spellEnd"/>
      <w:r w:rsidR="00434C8D" w:rsidRPr="00487EF1">
        <w:rPr>
          <w:vertAlign w:val="subscript"/>
          <w:lang w:val="en-GB"/>
        </w:rPr>
        <w:t>-</w:t>
      </w:r>
      <w:proofErr w:type="gramStart"/>
      <w:r w:rsidR="00434C8D" w:rsidRPr="00487EF1">
        <w:rPr>
          <w:vertAlign w:val="subscript"/>
          <w:lang w:val="en-GB"/>
        </w:rPr>
        <w:t>RAN</w:t>
      </w:r>
      <w:r w:rsidR="00434C8D" w:rsidRPr="006128AD">
        <w:rPr>
          <w:b w:val="0"/>
          <w:bCs/>
          <w:lang w:val="en-GB"/>
        </w:rPr>
        <w:t xml:space="preserve"> </w:t>
      </w:r>
      <w:r w:rsidR="006128AD" w:rsidRPr="006128AD">
        <w:rPr>
          <w:b w:val="0"/>
          <w:bCs/>
          <w:lang w:val="en-GB"/>
        </w:rPr>
        <w:t>,</w:t>
      </w:r>
      <w:proofErr w:type="gramEnd"/>
      <w:r w:rsidR="006128AD" w:rsidRPr="006128AD">
        <w:rPr>
          <w:b w:val="0"/>
          <w:bCs/>
          <w:lang w:val="en-GB"/>
        </w:rPr>
        <w:t xml:space="preserve"> </w:t>
      </w:r>
      <w:r w:rsidRPr="006128AD">
        <w:rPr>
          <w:b w:val="0"/>
          <w:bCs/>
        </w:rPr>
        <w:t xml:space="preserve">and </w:t>
      </w:r>
      <w:r>
        <w:t xml:space="preserve">removing brackets for FR2-1 aligned to </w:t>
      </w:r>
      <w:r w:rsidR="00437EDB">
        <w:t xml:space="preserve">FR2-1 </w:t>
      </w:r>
      <w:r>
        <w:t>requirements for SDT in clause 5.5.3.</w:t>
      </w:r>
    </w:p>
    <w:p w14:paraId="16CA844C" w14:textId="77777777" w:rsidR="00CD7492" w:rsidRPr="00EF698B" w:rsidRDefault="00CD7492" w:rsidP="00A37002">
      <w:pPr>
        <w:pStyle w:val="RAN4H1"/>
        <w:rPr>
          <w:lang w:val="en-US"/>
        </w:rPr>
      </w:pPr>
      <w:r w:rsidRPr="00EF698B">
        <w:rPr>
          <w:lang w:val="en-US"/>
        </w:rPr>
        <w:t>Conclusion</w:t>
      </w:r>
    </w:p>
    <w:p w14:paraId="673C41CB" w14:textId="213C365F" w:rsidR="005B4801" w:rsidRDefault="00E73C53" w:rsidP="005C23A4">
      <w:r>
        <w:t xml:space="preserve">The open issue from last meeting on TA validation requirements for SDT under </w:t>
      </w:r>
      <w:proofErr w:type="spellStart"/>
      <w:r>
        <w:t>eDRX</w:t>
      </w:r>
      <w:proofErr w:type="spellEnd"/>
      <w:r>
        <w:t xml:space="preserve"> has been addressed in this contribution and the following proposal is made.</w:t>
      </w:r>
    </w:p>
    <w:p w14:paraId="25D49A1B" w14:textId="546DFF57" w:rsidR="005B4801" w:rsidRPr="00EF698B" w:rsidRDefault="00E73C53" w:rsidP="00F4738E">
      <w:pPr>
        <w:pStyle w:val="RAN4proposal"/>
        <w:numPr>
          <w:ilvl w:val="0"/>
          <w:numId w:val="23"/>
        </w:numPr>
        <w:ind w:left="0" w:firstLine="0"/>
      </w:pPr>
      <w:r w:rsidRPr="00E73C53">
        <w:t xml:space="preserve">Agree changes in R4-221xxxx correcting references to the respective SDT section in 38.321, adding term definition for </w:t>
      </w:r>
      <w:proofErr w:type="spellStart"/>
      <w:r w:rsidRPr="00E73C53">
        <w:t>T</w:t>
      </w:r>
      <w:r w:rsidRPr="00FC4197">
        <w:rPr>
          <w:vertAlign w:val="subscript"/>
        </w:rPr>
        <w:t>eDRX</w:t>
      </w:r>
      <w:proofErr w:type="spellEnd"/>
      <w:r w:rsidRPr="00FC4197">
        <w:rPr>
          <w:vertAlign w:val="subscript"/>
        </w:rPr>
        <w:t>-</w:t>
      </w:r>
      <w:proofErr w:type="gramStart"/>
      <w:r w:rsidRPr="00FC4197">
        <w:rPr>
          <w:vertAlign w:val="subscript"/>
        </w:rPr>
        <w:t>RAN</w:t>
      </w:r>
      <w:r w:rsidRPr="00E73C53">
        <w:t xml:space="preserve"> ,</w:t>
      </w:r>
      <w:proofErr w:type="gramEnd"/>
      <w:r w:rsidRPr="00E73C53">
        <w:t xml:space="preserve"> and removing brackets for FR2-1 aligned to FR2-1 requirements for SDT in clause 5.5.3.</w:t>
      </w:r>
    </w:p>
    <w:p w14:paraId="39C69540" w14:textId="20451BDE" w:rsidR="00687FA0" w:rsidRPr="00AF304B" w:rsidRDefault="003B659E" w:rsidP="00AF304B">
      <w:pPr>
        <w:pStyle w:val="RAN4H1"/>
        <w:numPr>
          <w:ilvl w:val="0"/>
          <w:numId w:val="0"/>
        </w:numPr>
        <w:ind w:left="360" w:hanging="360"/>
        <w:rPr>
          <w:lang w:val="en-US"/>
        </w:rPr>
      </w:pPr>
      <w:r w:rsidRPr="00EF698B">
        <w:rPr>
          <w:lang w:val="en-US"/>
        </w:rPr>
        <w:t>References</w:t>
      </w:r>
      <w:bookmarkStart w:id="3" w:name="_Ref114500673"/>
      <w:bookmarkEnd w:id="3"/>
    </w:p>
    <w:p w14:paraId="5CBF1D9D" w14:textId="259B9B54" w:rsidR="00AF304B" w:rsidRPr="00AF304B" w:rsidRDefault="00AF304B" w:rsidP="00AF304B">
      <w:pPr>
        <w:pStyle w:val="ListParagraph"/>
        <w:numPr>
          <w:ilvl w:val="0"/>
          <w:numId w:val="21"/>
        </w:numPr>
        <w:ind w:right="-22"/>
      </w:pPr>
      <w:r w:rsidRPr="00AF304B">
        <w:t>R4-2214274</w:t>
      </w:r>
      <w:r w:rsidR="00961B87">
        <w:t>, “</w:t>
      </w:r>
      <w:r w:rsidRPr="00AF304B">
        <w:t>Email discussion summary for [104-e][223] NR_redcap_RRM_1</w:t>
      </w:r>
      <w:r w:rsidR="00961B87">
        <w:t>”</w:t>
      </w:r>
      <w:r w:rsidRPr="00AF304B">
        <w:t>, Moderator (Ericsson)</w:t>
      </w:r>
    </w:p>
    <w:p w14:paraId="52B3C84D" w14:textId="2E127B5F" w:rsidR="00AF304B" w:rsidRDefault="00AF304B" w:rsidP="00AF304B">
      <w:pPr>
        <w:pStyle w:val="ListParagraph"/>
        <w:numPr>
          <w:ilvl w:val="0"/>
          <w:numId w:val="21"/>
        </w:numPr>
        <w:ind w:right="-22"/>
      </w:pPr>
      <w:r w:rsidRPr="00AF304B">
        <w:t>R4-2214485</w:t>
      </w:r>
      <w:r>
        <w:t>, “</w:t>
      </w:r>
      <w:r w:rsidRPr="00AF304B">
        <w:t xml:space="preserve">WF on </w:t>
      </w:r>
      <w:proofErr w:type="spellStart"/>
      <w:r w:rsidRPr="00AF304B">
        <w:t>RedCap</w:t>
      </w:r>
      <w:proofErr w:type="spellEnd"/>
      <w:r w:rsidRPr="00AF304B">
        <w:t xml:space="preserve"> RRM requirements</w:t>
      </w:r>
      <w:r>
        <w:t>”</w:t>
      </w:r>
      <w:r w:rsidRPr="00AF304B">
        <w:t>, Ericsson</w:t>
      </w:r>
    </w:p>
    <w:p w14:paraId="52C11918" w14:textId="154C1B63" w:rsidR="001A1A62" w:rsidRDefault="001A1A62" w:rsidP="001A1A62">
      <w:pPr>
        <w:pStyle w:val="ListParagraph"/>
        <w:numPr>
          <w:ilvl w:val="0"/>
          <w:numId w:val="21"/>
        </w:numPr>
      </w:pPr>
      <w:r w:rsidRPr="001A1A62">
        <w:t xml:space="preserve">R4-2211039, "Draft CR on SDT requirements for </w:t>
      </w:r>
      <w:proofErr w:type="spellStart"/>
      <w:r w:rsidRPr="001A1A62">
        <w:t>RedCap</w:t>
      </w:r>
      <w:proofErr w:type="spellEnd"/>
      <w:r w:rsidRPr="001A1A62">
        <w:t xml:space="preserve"> for TS 38.133", RAN4#103-e, Ericsson</w:t>
      </w:r>
    </w:p>
    <w:p w14:paraId="1613BD43" w14:textId="5E14698C" w:rsidR="001A1A62" w:rsidRDefault="001A1A62" w:rsidP="001A1A62">
      <w:pPr>
        <w:pStyle w:val="ListParagraph"/>
        <w:numPr>
          <w:ilvl w:val="0"/>
          <w:numId w:val="21"/>
        </w:numPr>
      </w:pPr>
      <w:r w:rsidRPr="001A1A62">
        <w:t>R4-221</w:t>
      </w:r>
      <w:r>
        <w:t>4626</w:t>
      </w:r>
      <w:r w:rsidRPr="001A1A62">
        <w:t xml:space="preserve">, "CR on </w:t>
      </w:r>
      <w:r>
        <w:t>c</w:t>
      </w:r>
      <w:r w:rsidRPr="001A1A62">
        <w:t xml:space="preserve">hanges to SDT requirements for NR </w:t>
      </w:r>
      <w:proofErr w:type="spellStart"/>
      <w:r w:rsidRPr="001A1A62">
        <w:t>RedCap</w:t>
      </w:r>
      <w:proofErr w:type="spellEnd"/>
      <w:r w:rsidRPr="001A1A62">
        <w:t xml:space="preserve"> for TS 38.133", RAN4#10</w:t>
      </w:r>
      <w:r>
        <w:t>4</w:t>
      </w:r>
      <w:r w:rsidRPr="001A1A62">
        <w:t>-e, Ericsson</w:t>
      </w:r>
    </w:p>
    <w:p w14:paraId="00394E63" w14:textId="515C7508" w:rsidR="00487EF1" w:rsidRDefault="00487EF1" w:rsidP="00487EF1">
      <w:pPr>
        <w:pStyle w:val="ListParagraph"/>
        <w:numPr>
          <w:ilvl w:val="0"/>
          <w:numId w:val="21"/>
        </w:numPr>
      </w:pPr>
      <w:r w:rsidRPr="00FC4197">
        <w:t>R4-221</w:t>
      </w:r>
      <w:r w:rsidR="00FC4197" w:rsidRPr="00FC4197">
        <w:t>6216</w:t>
      </w:r>
      <w:r>
        <w:t xml:space="preserve">, </w:t>
      </w:r>
      <w:r w:rsidRPr="001A1A62">
        <w:t xml:space="preserve">"CR on </w:t>
      </w:r>
      <w:r>
        <w:t xml:space="preserve">corrections to </w:t>
      </w:r>
      <w:r w:rsidRPr="001A1A62">
        <w:t xml:space="preserve">SDT requirements for </w:t>
      </w:r>
      <w:proofErr w:type="spellStart"/>
      <w:r w:rsidRPr="001A1A62">
        <w:t>RedCap</w:t>
      </w:r>
      <w:proofErr w:type="spellEnd"/>
      <w:r w:rsidRPr="001A1A62">
        <w:t xml:space="preserve"> for TS 38.133", RAN4#10</w:t>
      </w:r>
      <w:r>
        <w:t>4</w:t>
      </w:r>
      <w:r w:rsidRPr="001A1A62">
        <w:t>-</w:t>
      </w:r>
      <w:r>
        <w:t>bis-</w:t>
      </w:r>
      <w:r w:rsidRPr="001A1A62">
        <w:t xml:space="preserve">e, </w:t>
      </w:r>
      <w:r>
        <w:t>Nokia, Nokia Shanghai Bell</w:t>
      </w:r>
    </w:p>
    <w:p w14:paraId="50220217" w14:textId="3180ECC7" w:rsidR="00487EF1" w:rsidRPr="00AF304B" w:rsidRDefault="00487EF1" w:rsidP="00487EF1">
      <w:pPr>
        <w:pStyle w:val="ListParagraph"/>
      </w:pPr>
    </w:p>
    <w:sectPr w:rsidR="00487EF1" w:rsidRPr="00AF304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5707E" w14:textId="77777777" w:rsidR="00887D49" w:rsidRDefault="00887D49" w:rsidP="00001C9B">
      <w:pPr>
        <w:spacing w:after="0" w:line="240" w:lineRule="auto"/>
      </w:pPr>
      <w:r>
        <w:separator/>
      </w:r>
    </w:p>
  </w:endnote>
  <w:endnote w:type="continuationSeparator" w:id="0">
    <w:p w14:paraId="51CC6BBD" w14:textId="77777777" w:rsidR="00887D49" w:rsidRDefault="00887D4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34F0" w14:textId="77777777" w:rsidR="00887D49" w:rsidRDefault="00887D49" w:rsidP="00001C9B">
      <w:pPr>
        <w:spacing w:after="0" w:line="240" w:lineRule="auto"/>
      </w:pPr>
      <w:r>
        <w:separator/>
      </w:r>
    </w:p>
  </w:footnote>
  <w:footnote w:type="continuationSeparator" w:id="0">
    <w:p w14:paraId="0ABCCFD8" w14:textId="77777777" w:rsidR="00887D49" w:rsidRDefault="00887D4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42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4"/>
  </w:num>
  <w:num w:numId="4">
    <w:abstractNumId w:val="4"/>
  </w:num>
  <w:num w:numId="5">
    <w:abstractNumId w:val="18"/>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19"/>
  </w:num>
  <w:num w:numId="16">
    <w:abstractNumId w:val="3"/>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2"/>
    <w:lvlOverride w:ilvl="0">
      <w:startOverride w:val="1"/>
    </w:lvlOverride>
  </w:num>
  <w:num w:numId="23">
    <w:abstractNumId w:val="13"/>
    <w:lvlOverride w:ilvl="0">
      <w:startOverride w:val="1"/>
    </w:lvlOverride>
  </w:num>
  <w:num w:numId="24">
    <w:abstractNumId w:val="2"/>
  </w:num>
  <w:num w:numId="25">
    <w:abstractNumId w:val="10"/>
  </w:num>
  <w:num w:numId="26">
    <w:abstractNumId w:val="6"/>
  </w:num>
  <w:num w:numId="27">
    <w:abstractNumId w:val="0"/>
  </w:num>
  <w:num w:numId="28">
    <w:abstractNumId w:val="20"/>
  </w:num>
  <w:num w:numId="29">
    <w:abstractNumId w:val="7"/>
  </w:num>
  <w:num w:numId="30">
    <w:abstractNumId w:val="9"/>
  </w:num>
  <w:num w:numId="31">
    <w:abstractNumId w:val="8"/>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1E2C"/>
    <w:rsid w:val="0008612A"/>
    <w:rsid w:val="00090E18"/>
    <w:rsid w:val="000B0056"/>
    <w:rsid w:val="00140221"/>
    <w:rsid w:val="001745F8"/>
    <w:rsid w:val="001838CF"/>
    <w:rsid w:val="001868EE"/>
    <w:rsid w:val="001A1A62"/>
    <w:rsid w:val="001A3BA4"/>
    <w:rsid w:val="001E30F6"/>
    <w:rsid w:val="00221C49"/>
    <w:rsid w:val="00235F5C"/>
    <w:rsid w:val="002B4922"/>
    <w:rsid w:val="002C2D19"/>
    <w:rsid w:val="002D10FA"/>
    <w:rsid w:val="002D4C55"/>
    <w:rsid w:val="002E6936"/>
    <w:rsid w:val="003023BB"/>
    <w:rsid w:val="0030384E"/>
    <w:rsid w:val="00321647"/>
    <w:rsid w:val="0032499A"/>
    <w:rsid w:val="0038544C"/>
    <w:rsid w:val="003A710A"/>
    <w:rsid w:val="003B659E"/>
    <w:rsid w:val="004014EB"/>
    <w:rsid w:val="00434C8D"/>
    <w:rsid w:val="0043750A"/>
    <w:rsid w:val="00437EDB"/>
    <w:rsid w:val="00441DFD"/>
    <w:rsid w:val="004854BB"/>
    <w:rsid w:val="00487EF1"/>
    <w:rsid w:val="00496DF7"/>
    <w:rsid w:val="004C706C"/>
    <w:rsid w:val="004E5E66"/>
    <w:rsid w:val="005039B6"/>
    <w:rsid w:val="00503B4D"/>
    <w:rsid w:val="00504EE9"/>
    <w:rsid w:val="005111F1"/>
    <w:rsid w:val="0054442C"/>
    <w:rsid w:val="00550285"/>
    <w:rsid w:val="00572A20"/>
    <w:rsid w:val="005836F8"/>
    <w:rsid w:val="00583E5D"/>
    <w:rsid w:val="005918FA"/>
    <w:rsid w:val="005B4801"/>
    <w:rsid w:val="005C23A4"/>
    <w:rsid w:val="005D1CDF"/>
    <w:rsid w:val="005E61A8"/>
    <w:rsid w:val="005F6419"/>
    <w:rsid w:val="006128AD"/>
    <w:rsid w:val="00617400"/>
    <w:rsid w:val="00664950"/>
    <w:rsid w:val="0067050A"/>
    <w:rsid w:val="00683220"/>
    <w:rsid w:val="00687FA0"/>
    <w:rsid w:val="006B7010"/>
    <w:rsid w:val="006E6311"/>
    <w:rsid w:val="007145FF"/>
    <w:rsid w:val="00715B2A"/>
    <w:rsid w:val="00751515"/>
    <w:rsid w:val="00756CD3"/>
    <w:rsid w:val="007773DA"/>
    <w:rsid w:val="00784DF6"/>
    <w:rsid w:val="00785232"/>
    <w:rsid w:val="007C3ED0"/>
    <w:rsid w:val="00806A76"/>
    <w:rsid w:val="0080711E"/>
    <w:rsid w:val="00811C9D"/>
    <w:rsid w:val="00816C80"/>
    <w:rsid w:val="00841BCD"/>
    <w:rsid w:val="00851A8E"/>
    <w:rsid w:val="008826C1"/>
    <w:rsid w:val="00887D49"/>
    <w:rsid w:val="0089258F"/>
    <w:rsid w:val="00893E13"/>
    <w:rsid w:val="0090091A"/>
    <w:rsid w:val="009042BD"/>
    <w:rsid w:val="00961B87"/>
    <w:rsid w:val="00977E1D"/>
    <w:rsid w:val="00A04992"/>
    <w:rsid w:val="00A147AA"/>
    <w:rsid w:val="00A21D71"/>
    <w:rsid w:val="00A22B78"/>
    <w:rsid w:val="00A25AE5"/>
    <w:rsid w:val="00A37002"/>
    <w:rsid w:val="00AA1B0E"/>
    <w:rsid w:val="00AC5CA7"/>
    <w:rsid w:val="00AE2BA5"/>
    <w:rsid w:val="00AE56B1"/>
    <w:rsid w:val="00AE6D09"/>
    <w:rsid w:val="00AF304B"/>
    <w:rsid w:val="00B05300"/>
    <w:rsid w:val="00B73862"/>
    <w:rsid w:val="00BA6E48"/>
    <w:rsid w:val="00BD33C3"/>
    <w:rsid w:val="00BF2218"/>
    <w:rsid w:val="00CB1319"/>
    <w:rsid w:val="00CD7492"/>
    <w:rsid w:val="00CE3A6B"/>
    <w:rsid w:val="00D00211"/>
    <w:rsid w:val="00D06309"/>
    <w:rsid w:val="00D0673D"/>
    <w:rsid w:val="00D351EA"/>
    <w:rsid w:val="00D43403"/>
    <w:rsid w:val="00D46E26"/>
    <w:rsid w:val="00D62E71"/>
    <w:rsid w:val="00D66188"/>
    <w:rsid w:val="00D740CA"/>
    <w:rsid w:val="00D85728"/>
    <w:rsid w:val="00DA474B"/>
    <w:rsid w:val="00DF2997"/>
    <w:rsid w:val="00E73C53"/>
    <w:rsid w:val="00EA400A"/>
    <w:rsid w:val="00EC7BC3"/>
    <w:rsid w:val="00ED7600"/>
    <w:rsid w:val="00EF698B"/>
    <w:rsid w:val="00F1362C"/>
    <w:rsid w:val="00F4738E"/>
    <w:rsid w:val="00F508B8"/>
    <w:rsid w:val="00F824F5"/>
    <w:rsid w:val="00FC29B9"/>
    <w:rsid w:val="00FC4197"/>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2022-09-25T12:44:00Z</dcterms:created>
  <dcterms:modified xsi:type="dcterms:W3CDTF">2022-09-30T21:25:00Z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